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 Narrow" w:cs="Arial Narrow" w:eastAsia="Arial Narrow" w:hAnsi="Arial Narrow"/>
          <w:b w:val="1"/>
          <w:color w:val="002060"/>
          <w:sz w:val="32"/>
          <w:szCs w:val="3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sz w:val="32"/>
          <w:szCs w:val="32"/>
          <w:rtl w:val="0"/>
        </w:rPr>
        <w:t xml:space="preserve">CORSO CYBER SECURITY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PRESENTAZIONE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L'obiettivo del corso è quello di fornire le conoscenze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principali</w:t>
      </w:r>
      <w:r w:rsidDel="00000000" w:rsidR="00000000" w:rsidRPr="00000000">
        <w:rPr>
          <w:rFonts w:ascii="Arial Narrow" w:cs="Arial Narrow" w:eastAsia="Arial Narrow" w:hAnsi="Arial Narrow"/>
          <w:color w:val="000000"/>
          <w:rtl w:val="0"/>
        </w:rPr>
        <w:t xml:space="preserve"> riguardanti la cy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ber-security sia per quanto riguarda i principi che le metodologie alla base della sicurezza dei sistemi informatici e delle reti di telecomunicazioni, dal punto di vista tecnico ma anche organizzativo. Le varie problematiche, sempre declinate con un approccio molto concreto e aderente alla realtà, verranno introdotte per mezzo di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casi aziendali di studio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ed esempi tratti dall’attualità. L’intenzione è sia quella di fornire le conoscenze di base per potersi districare nel mondo della cyber-security sia di essere in grado di valutare con occhio critico i propri sistemi aziendali anche alla luce dell’evoluzione che sarà necessaria nei prossimi anni, ad esempio per quanto concerne gli aspetti più legati al contesto normativo e all’utilizzo dell’AI.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7030a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OBIETTIVI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2"/>
        </w:numPr>
        <w:spacing w:line="276" w:lineRule="auto"/>
        <w:ind w:left="360" w:firstLine="0"/>
        <w:jc w:val="both"/>
        <w:rPr>
          <w:rFonts w:ascii="Arial Narrow" w:cs="Arial Narrow" w:eastAsia="Arial Narrow" w:hAnsi="Arial Narrow"/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Introdurre i principali problemi della cyber-security</w:t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2"/>
        </w:numPr>
        <w:spacing w:line="276" w:lineRule="auto"/>
        <w:ind w:left="360" w:firstLine="0"/>
        <w:jc w:val="both"/>
        <w:rPr>
          <w:rFonts w:ascii="Arial Narrow" w:cs="Arial Narrow" w:eastAsia="Arial Narrow" w:hAnsi="Arial Narrow"/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Apprendere i concetti di base e la metodologia tipica di questo settore</w:t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2"/>
        </w:numPr>
        <w:spacing w:line="276" w:lineRule="auto"/>
        <w:ind w:left="360" w:firstLine="0"/>
        <w:jc w:val="both"/>
        <w:rPr>
          <w:rFonts w:ascii="Arial Narrow" w:cs="Arial Narrow" w:eastAsia="Arial Narrow" w:hAnsi="Arial Narrow"/>
          <w:b w:val="0"/>
          <w:sz w:val="22"/>
          <w:szCs w:val="22"/>
        </w:rPr>
      </w:pPr>
      <w:bookmarkStart w:colFirst="0" w:colLast="0" w:name="_heading=h.3cdwl96z16sm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Essere in grado di individuare le principali problematiche di sicurezza dei propri sistemi</w:t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2"/>
        </w:numPr>
        <w:spacing w:line="276" w:lineRule="auto"/>
        <w:ind w:left="360" w:firstLine="0"/>
        <w:jc w:val="both"/>
        <w:rPr>
          <w:rFonts w:ascii="Arial Narrow" w:cs="Arial Narrow" w:eastAsia="Arial Narrow" w:hAnsi="Arial Narrow"/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Essere in grado di valutare criticamente le soluzioni presenti sul mercato</w:t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2"/>
        </w:numPr>
        <w:spacing w:line="276" w:lineRule="auto"/>
        <w:ind w:left="360" w:firstLine="0"/>
        <w:jc w:val="both"/>
        <w:rPr>
          <w:rFonts w:ascii="Arial Narrow" w:cs="Arial Narrow" w:eastAsia="Arial Narrow" w:hAnsi="Arial Narrow"/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Permettere di individuare i maggiori trend di evoluzione della cyber-security</w:t>
      </w:r>
    </w:p>
    <w:p w:rsidR="00000000" w:rsidDel="00000000" w:rsidP="00000000" w:rsidRDefault="00000000" w:rsidRPr="00000000" w14:paraId="0000000C">
      <w:pPr>
        <w:pStyle w:val="Heading2"/>
        <w:numPr>
          <w:ilvl w:val="0"/>
          <w:numId w:val="2"/>
        </w:numPr>
        <w:spacing w:line="276" w:lineRule="auto"/>
        <w:ind w:left="360" w:firstLine="0"/>
        <w:jc w:val="both"/>
        <w:rPr>
          <w:rFonts w:ascii="Arial Narrow" w:cs="Arial Narrow" w:eastAsia="Arial Narrow" w:hAnsi="Arial Narrow"/>
          <w:b w:val="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0"/>
          <w:sz w:val="22"/>
          <w:szCs w:val="22"/>
          <w:rtl w:val="0"/>
        </w:rPr>
        <w:t xml:space="preserve">Individuare gli aspetti più rilevanti dal punto di vista normativo e relativamente all’AI</w:t>
      </w:r>
    </w:p>
    <w:p w:rsidR="00000000" w:rsidDel="00000000" w:rsidP="00000000" w:rsidRDefault="00000000" w:rsidRPr="00000000" w14:paraId="0000000D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MODALITÀ DI FRUIZIONE E DURATA</w:t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color w:val="212529"/>
          <w:highlight w:val="whit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Il corso, della durata di 32 ore, prevede </w:t>
      </w:r>
      <w:r w:rsidDel="00000000" w:rsidR="00000000" w:rsidRPr="00000000">
        <w:rPr>
          <w:rFonts w:ascii="Arial Narrow" w:cs="Arial Narrow" w:eastAsia="Arial Narrow" w:hAnsi="Arial Narrow"/>
          <w:color w:val="212529"/>
          <w:highlight w:val="white"/>
          <w:rtl w:val="0"/>
        </w:rPr>
        <w:t xml:space="preserve">7 sessioni a distanza da mezza giornata e un’ultima giornata full time con esempi presso l’aula e la Linea Pilota Bi-Rex.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Argomento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 1 - Introduzione alla sicurezza informatica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6"/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Contenuti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136" w:hanging="360"/>
        <w:rPr>
          <w:rFonts w:ascii="Arial Narrow" w:cs="Arial Narrow" w:eastAsia="Arial Narrow" w:hAnsi="Arial Narrow"/>
          <w:color w:val="231f20"/>
        </w:rPr>
      </w:pPr>
      <w:r w:rsidDel="00000000" w:rsidR="00000000" w:rsidRPr="00000000">
        <w:rPr>
          <w:rFonts w:ascii="Arial Narrow" w:cs="Arial Narrow" w:eastAsia="Arial Narrow" w:hAnsi="Arial Narrow"/>
          <w:color w:val="231f20"/>
          <w:rtl w:val="0"/>
        </w:rPr>
        <w:t xml:space="preserve">Concetti e principi di base della sicurezza informatica.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136" w:hanging="360"/>
        <w:rPr>
          <w:rFonts w:ascii="Arial Narrow" w:cs="Arial Narrow" w:eastAsia="Arial Narrow" w:hAnsi="Arial Narrow"/>
          <w:color w:val="231f20"/>
        </w:rPr>
      </w:pPr>
      <w:r w:rsidDel="00000000" w:rsidR="00000000" w:rsidRPr="00000000">
        <w:rPr>
          <w:rFonts w:ascii="Arial Narrow" w:cs="Arial Narrow" w:eastAsia="Arial Narrow" w:hAnsi="Arial Narrow"/>
          <w:color w:val="231f20"/>
          <w:rtl w:val="0"/>
        </w:rPr>
        <w:t xml:space="preserve">Casi di studio: analisi iniziale di alcuni esempi tratti dall’attualità (Internet of Things e Industria 4.0, dispositivi mobile).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136" w:hanging="360"/>
        <w:rPr>
          <w:rFonts w:ascii="Arial Narrow" w:cs="Arial Narrow" w:eastAsia="Arial Narrow" w:hAnsi="Arial Narrow"/>
          <w:color w:val="231f20"/>
        </w:rPr>
      </w:pPr>
      <w:r w:rsidDel="00000000" w:rsidR="00000000" w:rsidRPr="00000000">
        <w:rPr>
          <w:rFonts w:ascii="Arial Narrow" w:cs="Arial Narrow" w:eastAsia="Arial Narrow" w:hAnsi="Arial Narrow"/>
          <w:color w:val="231f20"/>
          <w:rtl w:val="0"/>
        </w:rPr>
        <w:t xml:space="preserve">Terminologia essenziale del mondo della sicurezza: il concetto di minaccia, le tipologie principali degli attacchi e le risorse di un sistema.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136" w:hanging="360"/>
        <w:rPr>
          <w:rFonts w:ascii="Arial Narrow" w:cs="Arial Narrow" w:eastAsia="Arial Narrow" w:hAnsi="Arial Narrow"/>
          <w:color w:val="231f20"/>
        </w:rPr>
      </w:pPr>
      <w:r w:rsidDel="00000000" w:rsidR="00000000" w:rsidRPr="00000000">
        <w:rPr>
          <w:rFonts w:ascii="Arial Narrow" w:cs="Arial Narrow" w:eastAsia="Arial Narrow" w:hAnsi="Arial Narrow"/>
          <w:color w:val="231f20"/>
          <w:rtl w:val="0"/>
        </w:rPr>
        <w:t xml:space="preserve">Il concetto di vulnerabilità informatica: definizione per mezzo dell’analisi di alcuni esempi notevoli.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136" w:hanging="360"/>
        <w:rPr>
          <w:rFonts w:ascii="Arial Narrow" w:cs="Arial Narrow" w:eastAsia="Arial Narrow" w:hAnsi="Arial Narrow"/>
          <w:color w:val="231f20"/>
        </w:rPr>
      </w:pPr>
      <w:r w:rsidDel="00000000" w:rsidR="00000000" w:rsidRPr="00000000">
        <w:rPr>
          <w:rFonts w:ascii="Arial Narrow" w:cs="Arial Narrow" w:eastAsia="Arial Narrow" w:hAnsi="Arial Narrow"/>
          <w:color w:val="231f20"/>
          <w:rtl w:val="0"/>
        </w:rPr>
        <w:t xml:space="preserve">Principi e meccanismi fondamentali per la progettazione (e l’implementazione) di un sistema “ragionevolmente sicuro”.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136" w:hanging="360"/>
        <w:rPr>
          <w:rFonts w:ascii="Arial Narrow" w:cs="Arial Narrow" w:eastAsia="Arial Narrow" w:hAnsi="Arial Narrow"/>
          <w:color w:val="231f20"/>
        </w:rPr>
      </w:pPr>
      <w:r w:rsidDel="00000000" w:rsidR="00000000" w:rsidRPr="00000000">
        <w:rPr>
          <w:rFonts w:ascii="Arial Narrow" w:cs="Arial Narrow" w:eastAsia="Arial Narrow" w:hAnsi="Arial Narrow"/>
          <w:color w:val="231f20"/>
          <w:rtl w:val="0"/>
        </w:rPr>
        <w:t xml:space="preserve">La sicurezza come processo: l’importanza della formazione continua del personale diversificata a seconda dei ruoli e delle competenze. La necessità di “consapevolezza” del problema da parte di tutti gli utilizzatori dei sistemi. L’analisi del valore delle risorse. Il problema dell’interazione tra figure non tecniche e tecniche in ambito aziendale.Superficie d’attacco e alberi d’attacco, valutazione (e riduzione) del rischio per mezzo di strumenti tecnologici, organizzativi ed anche assicurativi.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136" w:hanging="360"/>
        <w:rPr>
          <w:rFonts w:ascii="Arial Narrow" w:cs="Arial Narrow" w:eastAsia="Arial Narrow" w:hAnsi="Arial Narrow"/>
          <w:color w:val="231f20"/>
        </w:rPr>
      </w:pPr>
      <w:r w:rsidDel="00000000" w:rsidR="00000000" w:rsidRPr="00000000">
        <w:rPr>
          <w:rFonts w:ascii="Arial Narrow" w:cs="Arial Narrow" w:eastAsia="Arial Narrow" w:hAnsi="Arial Narrow"/>
          <w:color w:val="231f20"/>
          <w:rtl w:val="0"/>
        </w:rPr>
        <w:t xml:space="preserve">Non solo tecnica: gli attacchi più comuni sono di tipo “social engineering” (ingegneria sociale). Inganni via e-mail ma non solo, l’importanza di definire procedure aziendali che tengano conto anche degli aspetti di sicurezza.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right="136" w:hanging="360"/>
        <w:rPr>
          <w:rFonts w:ascii="Arial Narrow" w:cs="Arial Narrow" w:eastAsia="Arial Narrow" w:hAnsi="Arial Narrow"/>
          <w:color w:val="231f20"/>
        </w:rPr>
      </w:pPr>
      <w:r w:rsidDel="00000000" w:rsidR="00000000" w:rsidRPr="00000000">
        <w:rPr>
          <w:rFonts w:ascii="Arial Narrow" w:cs="Arial Narrow" w:eastAsia="Arial Narrow" w:hAnsi="Arial Narrow"/>
          <w:color w:val="231f20"/>
          <w:rtl w:val="0"/>
        </w:rPr>
        <w:t xml:space="preserve">La mitigazione delle minacce e la corretta gestione delle vulnerabilità che non possono essere eliminate. Il concetto di “finestra di vulnerabilità”.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Argomento 2 - Strumenti e meccanismi di base per la protezione dei sistemi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6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Contenuti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Meccanismi di autenticazione tra innovazione e limiti (password, token, biometria, meccanismi multi fattore, accesso per mezzo di app di autenticazione, problemi dell’autenticazione via SMS, passkey);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Meccanismi di autorizzazione (schemi per il controllo degli accessi alle risorse di sistema): chi può accedere a cosa?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Breve introduzione ai meccanismi crittografici (es. crittografia simmetrica, a chiave pubblica) e breve discussione di alcuni utilizzi pratici (crittografia dei backup, certificati SSL, e-mail crittografate, PEC).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Esercitazione: “giochiamo” con l’infrastruttura di rete Bi-Rex e con la linea pilota. Sono sicure o vulnerabili? Analisi della superficie d'attacco. Definizione del “threat model” e delle principali contromisure applicabili.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Esercitazione: esempio pratico di attacco ai protocolli HTTP/HTTPS (pharming), il problema dell’integrità dei sistemi e il concetto di “trust” (fiducia) nelle comunicazioni e dei sistemi.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76" w:lineRule="auto"/>
        <w:ind w:left="720" w:hanging="36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Qual è il livello di sicurezza dei sistemi attualmente in commercio? Ad esempio, i sistemi mobile (Apple e Android) quanto sono sicuri? La migrazione di sempre più servizi da fisso a mobile (es. online banking) quali rischi comporta?</w:t>
      </w:r>
    </w:p>
    <w:p w:rsidR="00000000" w:rsidDel="00000000" w:rsidP="00000000" w:rsidRDefault="00000000" w:rsidRPr="00000000" w14:paraId="00000025">
      <w:pPr>
        <w:spacing w:after="0" w:line="276" w:lineRule="auto"/>
        <w:ind w:left="720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Argomento 3 - Attacchi, contromisure e prospettive future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6"/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Contenuti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76" w:lineRule="auto"/>
        <w:ind w:left="1067" w:hanging="707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Ransomware: presente e futuro dei meccanismi di estorsione.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76" w:lineRule="auto"/>
        <w:ind w:left="1067" w:hanging="707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Internet of Things, in quale modo l’Internet delle cose modifica le politiche di sicurezza aziendali e in generale la sicurezza di Internet?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76" w:lineRule="auto"/>
        <w:ind w:left="1067" w:hanging="707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Case histories: pompe per insulina, il mercato delle vulnerabilità.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76" w:lineRule="auto"/>
        <w:ind w:left="1067" w:hanging="707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Cloud computing: una componente essenziale di (quasi) tutti i sistemi attuali, con enormi vantaggi e qualche rischio da non sottovalutare.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76" w:lineRule="auto"/>
        <w:ind w:left="1067" w:hanging="707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Industria 4.0: breve analisi di sicurezza dei sistemi produttivi connessi ad Internet.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="276" w:lineRule="auto"/>
        <w:ind w:left="1067" w:hanging="707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 rischi delle politiche BYOD (bring your own device) e la loro gestione corretta. Il problema dell’espansione del perimetro aziendale (e personale).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76" w:lineRule="auto"/>
        <w:ind w:left="1067" w:hanging="707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Firewall e antivirus: cosa sono esattamente? Si tratta di strumenti ancora attuali in una politica di gestione della sicurezza aziendale oppure sono superati?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276" w:lineRule="auto"/>
        <w:ind w:left="1067" w:hanging="707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Alcuni cenni di sicurezza delle reti (sia cablate ma soprattutto wireless).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6"/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Argomento 4 - </w:t>
      </w: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Aspetti normativi della CyberSecurity, Intelligenza Artificiale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136"/>
        <w:rPr>
          <w:rFonts w:ascii="Arial Narrow" w:cs="Arial Narrow" w:eastAsia="Arial Narrow" w:hAnsi="Arial Narrow"/>
          <w:b w:val="1"/>
          <w:color w:val="00206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2060"/>
          <w:rtl w:val="0"/>
        </w:rPr>
        <w:t xml:space="preserve">Contenuti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="276" w:lineRule="auto"/>
        <w:ind w:left="1067" w:hanging="707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Breve introduzione al “Regolamento Europeo in materia di protezione dei dati personali (GDPR UE 2016/679)”. Discussione degli aspetti rilevanti per la sicurezza dei sistemi e le procedure da seguire in ambito aziendale.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76" w:lineRule="auto"/>
        <w:ind w:left="1067" w:hanging="707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Come può un’impresa che ha a disposizione un budget (piuttosto) limitato, migliorare il proprio livello di sicurezza? Alcuni punti di partenza, per mezzo di documenti e metodologie liberamente disponibili: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Laboratorio Nazionale di Cyber Security (CINI)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0" w:line="276" w:lineRule="auto"/>
        <w:ind w:left="216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libro Bianco sulla Cyber Security;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0" w:line="276" w:lineRule="auto"/>
        <w:ind w:left="216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framework Nazionale per la Cybersecurity (15 Controlli Essenziali per la Cybersecurity).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76" w:lineRule="auto"/>
        <w:ind w:left="1067" w:hanging="707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Aspetti normativi: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“Misure per un livello comune elevato di cibersicurezza nell'Unione” (NIS-2)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“Cyber Resilience Act” (CRA)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“Artificial Intelligence Act” (AI Act)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76" w:lineRule="auto"/>
        <w:ind w:left="1067" w:hanging="707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Certificazioni: ISO 27001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76" w:lineRule="auto"/>
        <w:ind w:left="1067" w:hanging="707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AI e CyberSecurity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Attacchi al Machine Learning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Data poisoning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Uso del ML per identificare outlier e soggetti anomali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Difesa e Attacchi AI-driven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after="0" w:line="276" w:lineRule="auto"/>
        <w:ind w:left="144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Etica e privacy nell’AI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067" w:hanging="70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16BF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853A3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 w:val="1"/>
    <w:rsid w:val="00816BF1"/>
    <w:pPr>
      <w:keepNext w:val="1"/>
      <w:suppressAutoHyphens w:val="1"/>
      <w:spacing w:after="0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20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qFormat w:val="1"/>
    <w:rsid w:val="00816BF1"/>
    <w:rPr>
      <w:rFonts w:ascii="Times New Roman" w:cs="Times New Roman" w:eastAsia="Times New Roman" w:hAnsi="Times New Roman"/>
      <w:b w:val="1"/>
      <w:bCs w:val="1"/>
      <w:sz w:val="20"/>
      <w:szCs w:val="24"/>
      <w:lang w:eastAsia="it-IT"/>
    </w:rPr>
  </w:style>
  <w:style w:type="paragraph" w:styleId="Nessunaspaziatura">
    <w:name w:val="No Spacing"/>
    <w:uiPriority w:val="1"/>
    <w:qFormat w:val="1"/>
    <w:rsid w:val="00816BF1"/>
    <w:pPr>
      <w:suppressAutoHyphens w:val="1"/>
      <w:spacing w:after="0" w:line="240" w:lineRule="auto"/>
    </w:pPr>
    <w:rPr>
      <w:rFonts w:ascii="Calibri" w:cs="Times New Roman" w:eastAsia="Calibri" w:hAnsi="Calibri"/>
    </w:rPr>
  </w:style>
  <w:style w:type="table" w:styleId="Grigliatabella">
    <w:name w:val="Table Grid"/>
    <w:basedOn w:val="Tabellanormale"/>
    <w:uiPriority w:val="39"/>
    <w:rsid w:val="00816BF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853A3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Collegamentoipertestuale">
    <w:name w:val="Hyperlink"/>
    <w:rsid w:val="00853A3B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853A3B"/>
    <w:pPr>
      <w:ind w:left="720"/>
      <w:contextualSpacing w:val="1"/>
    </w:pPr>
    <w:rPr>
      <w:rFonts w:ascii="Calibri" w:cs="Times New Roman" w:eastAsia="Calibri" w:hAnsi="Calibri"/>
    </w:rPr>
  </w:style>
  <w:style w:type="paragraph" w:styleId="NormaleWeb">
    <w:name w:val="Normal (Web)"/>
    <w:basedOn w:val="Normale"/>
    <w:uiPriority w:val="99"/>
    <w:unhideWhenUsed w:val="1"/>
    <w:rsid w:val="00853A3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vZ27vD4B4rWBHfq3JAA28h2jQ==">CgMxLjAyDmguM2Nkd2w5NnoxNnNtOAByITFoUldXNHNGdlNaTllaYk5EOHVIY19zaGwwLW83a1otVw==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2022-03-17T11:16:00Z</dcterms:created>
  <dc:creator>Formazione Bi-Rex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0x01010012E0CFE981177740B33A3BB9F98DE5E7</vt:lpwstr>
  </property>
  <property fmtid="{D5CDD505-2E9C-101B-9397-08002B2CF9AE}" pid="3" name="MediaServiceImageTags">
    <vt:lpwstr>MediaServiceImageTags</vt:lpwstr>
  </property>
</Properties>
</file>